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63" w:rsidRDefault="00721F63" w:rsidP="00721F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721F63" w:rsidRDefault="00721F63" w:rsidP="00721F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721F63" w:rsidRDefault="00721F63" w:rsidP="00721F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721F63" w:rsidRDefault="00721F63" w:rsidP="00721F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1F63" w:rsidRDefault="00721F63" w:rsidP="00721F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07.08.2009   № 22</w:t>
      </w: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Кукелево                           </w:t>
      </w: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</w:p>
    <w:p w:rsidR="00721F63" w:rsidRPr="00B917AA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r w:rsidRPr="00B917AA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721F63" w:rsidRPr="00B917AA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r w:rsidRPr="00B917AA">
        <w:rPr>
          <w:rFonts w:ascii="Times New Roman" w:hAnsi="Times New Roman"/>
          <w:sz w:val="28"/>
          <w:szCs w:val="28"/>
        </w:rPr>
        <w:t xml:space="preserve">о комиссии по урегулированию </w:t>
      </w: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r w:rsidRPr="00B917AA">
        <w:rPr>
          <w:rFonts w:ascii="Times New Roman" w:hAnsi="Times New Roman"/>
          <w:sz w:val="28"/>
          <w:szCs w:val="28"/>
        </w:rPr>
        <w:t>конфликта интересов</w:t>
      </w:r>
    </w:p>
    <w:bookmarkEnd w:id="0"/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  со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статьей 14.1 Федерального закона от 02.03.2007 № 25-ФЗ «О муниципальной службе в Российской Федерации», в целях реализации Федерального закона от 25.12.2008  № 273-ФЗ «О противодействии коррупции», Совет депутатов сельского поселения «Село Кукелево»</w:t>
      </w: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21F63" w:rsidRDefault="00721F63" w:rsidP="00721F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Положение о комиссии по урегулированию конфликта интересов согласно приложению.</w:t>
      </w:r>
    </w:p>
    <w:p w:rsidR="00721F63" w:rsidRDefault="00721F63" w:rsidP="00721F63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2.   Контроль   за   выполнением   настоящего   решения   возложить   на   постоянную комиссию Совета депутатов по законности и гласности (председатель Т.В.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Шумову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).</w:t>
      </w:r>
    </w:p>
    <w:p w:rsidR="00721F63" w:rsidRDefault="00721F63" w:rsidP="00721F63">
      <w:pPr>
        <w:pStyle w:val="a3"/>
        <w:ind w:firstLine="708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 Настоящее решение вступает в силу со дня его опубликования.</w:t>
      </w:r>
    </w:p>
    <w:p w:rsidR="00721F63" w:rsidRDefault="00721F63" w:rsidP="00721F63">
      <w:pPr>
        <w:pStyle w:val="a3"/>
        <w:ind w:firstLine="708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ind w:firstLine="708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Глава сельского поселения</w:t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А.А. Жарков</w:t>
      </w: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721F63" w:rsidRDefault="00721F63" w:rsidP="00721F63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3"/>
        <w:gridCol w:w="3104"/>
        <w:gridCol w:w="3148"/>
      </w:tblGrid>
      <w:tr w:rsidR="00721F63" w:rsidRPr="0055694F" w:rsidTr="00981F31">
        <w:tc>
          <w:tcPr>
            <w:tcW w:w="3190" w:type="dxa"/>
          </w:tcPr>
          <w:p w:rsidR="00721F63" w:rsidRDefault="00721F63" w:rsidP="00981F31">
            <w:pPr>
              <w:pStyle w:val="a3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3190" w:type="dxa"/>
          </w:tcPr>
          <w:p w:rsidR="00721F63" w:rsidRDefault="00721F63" w:rsidP="00981F31">
            <w:pPr>
              <w:pStyle w:val="a3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3191" w:type="dxa"/>
          </w:tcPr>
          <w:p w:rsidR="00721F63" w:rsidRDefault="00721F63" w:rsidP="00981F31">
            <w:pPr>
              <w:pStyle w:val="a3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Приложение к решению Совета депутатов</w:t>
            </w:r>
          </w:p>
          <w:p w:rsidR="00721F63" w:rsidRDefault="00721F63" w:rsidP="00981F31">
            <w:pPr>
              <w:pStyle w:val="a3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от  07.08.2009   №  22</w:t>
            </w:r>
          </w:p>
        </w:tc>
      </w:tr>
    </w:tbl>
    <w:p w:rsidR="00721F63" w:rsidRDefault="00721F63" w:rsidP="00721F63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721F63" w:rsidRPr="000F5A2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1F63" w:rsidRPr="000F5A23" w:rsidRDefault="00721F63" w:rsidP="00721F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5A23">
        <w:rPr>
          <w:rFonts w:ascii="Times New Roman" w:hAnsi="Times New Roman"/>
          <w:sz w:val="28"/>
          <w:szCs w:val="28"/>
        </w:rPr>
        <w:t>ПОЛОЖЕНИЕ</w:t>
      </w:r>
    </w:p>
    <w:p w:rsidR="00721F63" w:rsidRPr="000F5A2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1F63" w:rsidRPr="000F5A2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5A23">
        <w:rPr>
          <w:rFonts w:ascii="Times New Roman" w:hAnsi="Times New Roman"/>
          <w:sz w:val="28"/>
          <w:szCs w:val="28"/>
        </w:rPr>
        <w:t>1.Общие положения</w:t>
      </w:r>
    </w:p>
    <w:p w:rsidR="00721F63" w:rsidRPr="000F5A2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5A23">
        <w:rPr>
          <w:rFonts w:ascii="Times New Roman" w:hAnsi="Times New Roman"/>
          <w:sz w:val="28"/>
          <w:szCs w:val="28"/>
        </w:rPr>
        <w:tab/>
        <w:t xml:space="preserve">1. Настоящим положением определяется </w:t>
      </w:r>
      <w:r w:rsidRPr="00270D70">
        <w:rPr>
          <w:rFonts w:ascii="Times New Roman" w:hAnsi="Times New Roman"/>
          <w:b/>
          <w:sz w:val="28"/>
          <w:szCs w:val="28"/>
        </w:rPr>
        <w:t>порядок образования и деятельности комиссии по урегулированию конфликта интересов</w:t>
      </w:r>
      <w:r w:rsidRPr="000F5A23">
        <w:rPr>
          <w:rFonts w:ascii="Times New Roman" w:hAnsi="Times New Roman"/>
          <w:sz w:val="28"/>
          <w:szCs w:val="28"/>
        </w:rPr>
        <w:t xml:space="preserve"> (далее - комиссия), образуемой в администрации сельского поселения.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5A23">
        <w:rPr>
          <w:rFonts w:ascii="Times New Roman" w:hAnsi="Times New Roman"/>
          <w:sz w:val="28"/>
          <w:szCs w:val="28"/>
        </w:rPr>
        <w:tab/>
        <w:t>2. Комиссия в своей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>
        <w:rPr>
          <w:rFonts w:ascii="Times New Roman" w:hAnsi="Times New Roman"/>
          <w:sz w:val="28"/>
          <w:szCs w:val="28"/>
        </w:rPr>
        <w:t>руководствуется  Конституцией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сельского поселения.</w:t>
      </w:r>
    </w:p>
    <w:p w:rsidR="00721F63" w:rsidRDefault="00721F63" w:rsidP="00721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3.Комиссия рассматривает вопросы, связанные с урегулированием конфликта интересов в отношении муниципальных служащих, замещающих должности муниципальной службы администрации сельского поселения.</w:t>
      </w:r>
    </w:p>
    <w:p w:rsidR="00721F63" w:rsidRDefault="00721F63" w:rsidP="00721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1F63" w:rsidRPr="00270D70" w:rsidRDefault="00721F63" w:rsidP="00721F6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0D70">
        <w:rPr>
          <w:rFonts w:ascii="Times New Roman" w:hAnsi="Times New Roman"/>
          <w:b/>
          <w:sz w:val="28"/>
          <w:szCs w:val="28"/>
        </w:rPr>
        <w:t>2.Порядок образования комиссии</w:t>
      </w:r>
    </w:p>
    <w:p w:rsidR="00721F63" w:rsidRPr="008E3ABD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E3ABD">
        <w:rPr>
          <w:rFonts w:ascii="Times New Roman" w:hAnsi="Times New Roman"/>
          <w:sz w:val="28"/>
          <w:szCs w:val="28"/>
        </w:rPr>
        <w:t>2.</w:t>
      </w:r>
      <w:proofErr w:type="gramStart"/>
      <w:r w:rsidRPr="008E3ABD">
        <w:rPr>
          <w:rFonts w:ascii="Times New Roman" w:hAnsi="Times New Roman"/>
          <w:sz w:val="28"/>
          <w:szCs w:val="28"/>
        </w:rPr>
        <w:t>1.Распоряжением</w:t>
      </w:r>
      <w:proofErr w:type="gramEnd"/>
      <w:r w:rsidRPr="008E3ABD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поселения</w:t>
      </w:r>
      <w:r w:rsidRPr="008E3ABD">
        <w:rPr>
          <w:rFonts w:ascii="Times New Roman" w:hAnsi="Times New Roman"/>
          <w:sz w:val="28"/>
          <w:szCs w:val="28"/>
        </w:rPr>
        <w:t xml:space="preserve"> утверждается количественный и персональный состав комиссии.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3ABD">
        <w:rPr>
          <w:rFonts w:ascii="Times New Roman" w:hAnsi="Times New Roman"/>
          <w:sz w:val="28"/>
          <w:szCs w:val="28"/>
        </w:rPr>
        <w:tab/>
        <w:t>2.2.</w:t>
      </w:r>
      <w:r>
        <w:rPr>
          <w:rFonts w:ascii="Times New Roman" w:hAnsi="Times New Roman"/>
          <w:sz w:val="28"/>
          <w:szCs w:val="28"/>
        </w:rPr>
        <w:t>В состав комиссии входят: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представитель нанимателя и уполномоченные им муниципальные служащие;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представители учреждений, общественности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ветераны муниципальной службы), иных предприятий, учреждений, </w:t>
      </w:r>
      <w:proofErr w:type="gramStart"/>
      <w:r>
        <w:rPr>
          <w:rFonts w:ascii="Times New Roman" w:hAnsi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приглашенных администрацией сельского поселения в качестве независимых экспертов-специалистов, связанных с муниципальной службой.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включения в состав комиссии независимых экспертов представитель нанимателя (работодатель) направляет в соответствующую организацию запрос о приглашении в состав комиссии независимых экспертов - специалистов по вопросам, связанным с муниципальной службой, с указанием необходимого числа таких лиц.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Независимыми экспертами в составе комиссии могут быть работающие в других организациях граждане Российской Федерации.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Предпочтение при включении в состав комиссии в качестве независимых экспертов должно быть отдано лицам, трудовая деятельность которых в течение трех лет и более была связана с муниципальной службой.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Руководители организаций, учреждений, получив запрос с предложением направить в состав комиссии своих представителей в качестве независимых экспертов, в течении 7-дневный срок  со дня получения запроса представляют в администрацию сельского поселения сведения о работниках этих организаций, которые могут участвовать в работе комиссии, с  указанием фамилии, имени, отчества, занимаемой должности, а также информации, позволяющей признать этого работника  экспертом- специалистом по вопросам, связанным с муниципальной службой.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Независимые эксперты включаются в состав комиссии на добровольной основе.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3.Число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независимых экспертов должно составлять не менее одной четверти от общего числа членов комиссии.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4.Состав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формируется таким образом, что бы была исключена возможность возникновения конфликта интересов, который мог бы повлиять на принимаемые комиссией решения.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2.5. Комиссия состоит из председателя, заместителя председателя, </w:t>
      </w:r>
      <w:proofErr w:type="gramStart"/>
      <w:r>
        <w:rPr>
          <w:rFonts w:ascii="Times New Roman" w:hAnsi="Times New Roman"/>
          <w:sz w:val="28"/>
          <w:szCs w:val="28"/>
        </w:rPr>
        <w:t>секретаря  и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членов комиссии. Все члены комиссии при принятии решений обладают равными правами.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1F63" w:rsidRPr="00270D70" w:rsidRDefault="00721F63" w:rsidP="00721F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70D70">
        <w:rPr>
          <w:rFonts w:ascii="Times New Roman" w:hAnsi="Times New Roman"/>
          <w:b/>
          <w:sz w:val="28"/>
          <w:szCs w:val="28"/>
        </w:rPr>
        <w:t>3. Порядок работы комиссии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3.1.Основанием для проведения заседаний комиссии является информация, полученная от правоохранительных органов, судебных или иных государственных органов, органов местного самоуправления, организаций, должностных лиц или граждан, о наличии у муниципального служащего личной заинтересованности, которая влияет или может повлиять на объективное исполнение им должностных обязанностей, и при которой возникает или может возникнуть противоречие между личной заинтересованностью муниципального служащего и  законными интересами граждан, организаций, общества,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субъекта Российской Федерации, муниципального образования.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2.Информация</w:t>
      </w:r>
      <w:proofErr w:type="gramEnd"/>
      <w:r>
        <w:rPr>
          <w:rFonts w:ascii="Times New Roman" w:hAnsi="Times New Roman"/>
          <w:sz w:val="28"/>
          <w:szCs w:val="28"/>
        </w:rPr>
        <w:t>, указанная в пункте 3.1. настоящего положения должна быть представлена в письменном виде и содержать следующие сведения: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Фамилию, имя, отчество муниципального служащего и замещаемую им должность муниципальной службы;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описание признаков личной заинтересованности, которая приводит или может привести к конфликту интересов;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данные об источнике информации;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Комиссия не рассматривает сообщения о преступлениях и административных правонарушениях служебной дисциплины.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4.Представитель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нанимателя (работодатель) в 3-х дневной срок со дня поступления информации, указанной в пункте 3.1. настоящего Положения, выносит решение о проведении проверки этой информации.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Проверка информации и материалов осуществляется в месячный срок со дня принятия решения о её проведении.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поступлении информации о наличии у муниципального служащего личной заинтересованности, которая приводит или может привести </w:t>
      </w:r>
      <w:proofErr w:type="gramStart"/>
      <w:r>
        <w:rPr>
          <w:rFonts w:ascii="Times New Roman" w:hAnsi="Times New Roman"/>
          <w:sz w:val="28"/>
          <w:szCs w:val="28"/>
        </w:rPr>
        <w:t>к  конфликту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интересов, представитель  нанимателя (работодатель) обязан принять меры по предотвращению конфликта интересов, 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Дата, время и место заседания комиссии устанавливается её председателем после сбора материалов, подтверждающих либо опровергающих информацию, указанную в пункте 3.1. настоящего Положения.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Секретарь комиссии решает организационные вопросы, связанные </w:t>
      </w:r>
      <w:proofErr w:type="gramStart"/>
      <w:r>
        <w:rPr>
          <w:rFonts w:ascii="Times New Roman" w:hAnsi="Times New Roman"/>
          <w:sz w:val="28"/>
          <w:szCs w:val="28"/>
        </w:rPr>
        <w:t>с  подготовкой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заседания комиссии,  а также извещает членов комиссии о дате, времени, месте заседания, о вопросах, включенных в повестку дня, не позднее, чем за три дня до заседания.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 Заседание комиссии считается правомочным, если на нём присутствует не мене третей от общего числа членов комиссии.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 При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3.8. Заседание комиссии проводится в присутствии муниципального служащего, в случае его отсутствия по уважительной причине, заседание комиссии переносится. 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 На заседание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заслушивать их устные или рассмотреть письменные пояснения.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3.10. Члены комиссии и лица, участвующие в заседании комиссии, не вправе разглашать </w:t>
      </w:r>
      <w:proofErr w:type="gramStart"/>
      <w:r>
        <w:rPr>
          <w:rFonts w:ascii="Times New Roman" w:hAnsi="Times New Roman"/>
          <w:sz w:val="28"/>
          <w:szCs w:val="28"/>
        </w:rPr>
        <w:t>сведения,  ставшие</w:t>
      </w:r>
      <w:proofErr w:type="gramEnd"/>
      <w:r>
        <w:rPr>
          <w:rFonts w:ascii="Times New Roman" w:hAnsi="Times New Roman"/>
          <w:sz w:val="28"/>
          <w:szCs w:val="28"/>
        </w:rPr>
        <w:t xml:space="preserve"> им известны в ходе работы комиссии.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3.11. По итогам рассмотрения информации, указанной в пункте 3.1. настоящего Положения и собранных материалов, комиссия принимает одно из следующих решений: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устанавливает,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устанавливает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3.12. Решение комиссии принимается простым большинством голосов присутствующих на заседании членов комиссии. При равенстве числа голосов, голос председательствующего комиссии является решающим.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3.13. Решение комиссии оформляется протоколом, который подписывают члены комиссии, принявшие участие в заседании комиссии.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3.14.В решении указываются: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фамилия, имя, отчество, должность муниципального служащего, в отношении которого рассматривается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источник информации, ставший основанием для проведения заседания комиссии;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дата поступления информации в комиссию и дата её рассмотрения на заседании комиссии, существо информации;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фамилии, имена, отчества членов комиссии и других лиц, присутствующих на заседании;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д.) результат голосования;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существо решения и его обоснование;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3.15. Член комиссии, несогласный с решением комиссии, вправе </w:t>
      </w:r>
      <w:proofErr w:type="gramStart"/>
      <w:r>
        <w:rPr>
          <w:rFonts w:ascii="Times New Roman" w:hAnsi="Times New Roman"/>
          <w:sz w:val="28"/>
          <w:szCs w:val="28"/>
        </w:rPr>
        <w:t>в  письменном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виде изложить свое мнение, которое подлежит обязательному приобщению к протоколу заседания комиссии.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3.16. Копии протокола комиссии в течение трех дней со дня его принятия </w:t>
      </w:r>
      <w:proofErr w:type="gramStart"/>
      <w:r>
        <w:rPr>
          <w:rFonts w:ascii="Times New Roman" w:hAnsi="Times New Roman"/>
          <w:sz w:val="28"/>
          <w:szCs w:val="28"/>
        </w:rPr>
        <w:t>направляются  представителю</w:t>
      </w:r>
      <w:proofErr w:type="gramEnd"/>
      <w:r>
        <w:rPr>
          <w:rFonts w:ascii="Times New Roman" w:hAnsi="Times New Roman"/>
          <w:sz w:val="28"/>
          <w:szCs w:val="28"/>
        </w:rPr>
        <w:t xml:space="preserve"> нанимателя  (работодателю), муниципальному служащему, а также по решению комиссии иным заинтересованным лицам.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Решение </w:t>
      </w:r>
      <w:proofErr w:type="gramStart"/>
      <w:r>
        <w:rPr>
          <w:rFonts w:ascii="Times New Roman" w:hAnsi="Times New Roman"/>
          <w:sz w:val="28"/>
          <w:szCs w:val="28"/>
        </w:rPr>
        <w:t>комиссии 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обжаловано муниципальным служащим в 20-дневый срок со дня  вручения ему копии решения комиссии в порядке, предусмотренном законодательством Российской Федерации.</w:t>
      </w: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3.18. Представитель нанимателя (работодатель), узнавший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21F63" w:rsidRDefault="00721F63" w:rsidP="00721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предотвращения или урегулирования конфликта интересов представитель нанимателя (работодатель)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721F63" w:rsidRDefault="00721F63" w:rsidP="00721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В случае установления комиссией обстоятельств, свидетельствующих о наличии признаков дисциплинарного проступка в действиях( бездействии) муниципального служащего, в том числе в случае неисполнения им обязанностей, сообщать представителю нанимателя( работодателю) о личной заинтересованности при исполнении должностных обязанностей, которая может привести к конфликту интересов,  а также в случае непринятия муниципальным служащим мер по предотвращению такого конфликта, работодатель, после получения от комиссии соответствующей информации, может привести муниципального служащего к дисциплинарной ответственности в порядке, предусмотренном законодательством.</w:t>
      </w:r>
    </w:p>
    <w:p w:rsidR="00721F63" w:rsidRDefault="00721F63" w:rsidP="00721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В случае установления комиссией фактов совершения муниципальным служащим действия (бездействия), содержащего признаки административного правонарушения или созыва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721F63" w:rsidRDefault="00721F63" w:rsidP="00721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1F63" w:rsidRDefault="00721F63" w:rsidP="00721F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1F63" w:rsidRDefault="00721F63" w:rsidP="00721F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Жарков</w:t>
      </w:r>
    </w:p>
    <w:p w:rsidR="00282CD8" w:rsidRDefault="00721F63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B4"/>
    <w:rsid w:val="00721F63"/>
    <w:rsid w:val="00A454C2"/>
    <w:rsid w:val="00C562F8"/>
    <w:rsid w:val="00E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AF86-DC69-40F3-8A87-2EC02E4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F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2018-03-18T23:48:00Z</dcterms:created>
  <dcterms:modified xsi:type="dcterms:W3CDTF">2018-03-18T23:48:00Z</dcterms:modified>
</cp:coreProperties>
</file>